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4 vom 25. März 2024</w:t>
      </w:r>
    </w:p>
    <w:p>
      <w:r>
        <w:t>NW Gerichte, 2024-03-25, DE</w:t>
      </w:r>
    </w:p>
    <w:p>
      <w:r>
        <w:rPr>
          <w:b/>
        </w:rPr>
        <w:t xml:space="preserve">Quelle: </w:t>
      </w:r>
      <w:r>
        <w:t>https://mcp.opencaselaw.ch/entscheid/nw_gerichte_BAS 24 4</w:t>
      </w:r>
    </w:p>
    <w:p>
      <w:r>
        <w:t>FR: NW_GERICHTE BAS 24 4 du 25 mars 2024</w:t>
      </w:r>
    </w:p>
    <w:p>
      <w:r>
        <w:t>IT: NW_GERICHTE BAS 24 4 del 25 marzo 2024</w:t>
      </w:r>
    </w:p>
    <w:p>
      <w:pPr>
        <w:pStyle w:val="Heading2"/>
      </w:pPr>
      <w:r>
        <w:t>Erwägungen</w:t>
      </w:r>
    </w:p>
    <w:p>
      <w:r>
        <w:rPr>
          <w:b/>
        </w:rPr>
        <w:t>E. 1</w:t>
      </w:r>
    </w:p>
    <w:p>
      <w:r>
        <w:t>Angefochten ist die Nichtanhandnahmeverfügung der Staatsanwaltschaft Nidwalden vom</w:t>
      </w:r>
    </w:p>
    <w:p>
      <w:r>
        <w:rPr>
          <w:b/>
        </w:rPr>
        <w:t>E. 6</w:t>
      </w:r>
    </w:p>
    <w:p>
      <w:r>
        <w:t>Februar 2024 (STA-Nr. A1 23 714). Gegen Verfügungen und Verfahrenshandlungen der Staatsanwaltschaft ist die Beschwerde zulässig (Art. 393 Abs. 1 lit. a StPO). Beschwer- deinstanz gegen Verfügungen der Staatsanwaltschaft Nidwalden ist das Obergericht Nidwal- den, Beschwerdeabteilung in Strafsachen (Art. 20 Abs. 1 lit. b StPO i.V.m. Art. 29 GerG [NG 261.1]), die in Dreierbesetzung entscheidet (Art. 22 Ziff. 2 GerG). Der Beschwerdeführer ist als Privatkläger im Zivil- und Strafpunkt Partei des Strafverfahrens und berechtigt, gegen die Nichtanhandnahmeverfügung Beschwerde zu erheben (Art. 382 Abs. 1 und Art. 322 Abs. 2 StPO i.V.m. Art. 310 Abs. 2 StPO). Eine Nichtanhandnahmeverfügung ist innert 10 Tagen schriftlich und begründet bei der Be- schwerdeinstanz anzufechten (Art. 396 Abs. 1, Art. 322 Abs. 2 i.V.m. Art. 310 Abs. 2 StPO). Diese gesetzliche Frist kann nicht erstreckt werden (Art. 89 Abs. 1 StPO). Verlangt die</w:t>
      </w:r>
    </w:p>
    <w:p>
      <w:r>
        <w:t>4│6 Strafprozessordnung, dass das Rechtsmittel begründet wird, so hat die Person oder die Be- hörde, die das Rechtsmittel ergreift, genau anzugeben, welche Punkte des Entscheides sie anficht; welche Gründe einen anderen Entscheid nahe legen und welche Beweismittel sie an- ruft (Art. 385 Abs. 1 StPO). Erfüllt die Eingabe diese Anforderungen nicht, so weist die Rechts- mittelinstanz sie zur Verbesserung innerhalb einer kurzen Nachfrist zurück. Genügt die Ein- gabe auch nach Ablauf der Nachfrist den Anforderungen nicht, so tritt die Rechtsmittelinstanz auf das Rechtsmittel nicht ein (Art. 385 Abs. 2 StPO). Die Aufforderung eine verbesserte Beschwerde einzureichen, wurde dem Beschwerdeführer 29. Februar 2024 zugestellt. Die fünftägige Frist begann somit am 1. März 2024 zu laufen und endete am 5. März 2024. Somit ist auf die am 8. März 2024 der Post übergebene Eingabe zufolge Verspätung nicht einzutreten. 2. Selbst wenn die «verbesserte» Eingabe vom 5. März 2024 rechtzeitig erfolgt und darauf ein- zutreten gewesen wäre, hätte die Beschwerde abgewiesen werden müssen. Der neue Schrift- satz enthält erneut keine konkreten Anträge. Zumindest sinngemäss ergibt sich aber, dass der Beschwerdeführer wohl die Aufhebung der Nichtanhandnahmeverfügung und die Eröffnung einer Strafuntersuchung beantragen will. Seiner Begründungspflicht kommt der Beschwerdeführer selbst sinngemäss nicht nach: In- haltlich scheint er die Verweigerung der Aussage durch den Beschuldigten zu beanstanden und, unter Verweis auf seinen «umfassenden Klagebrief», der Staatsanwaltschaft Rechtsun- kenntnis vorzuwerfen. In seiner Eingabe bestätigt der Beschwerdeführer explizit den von der Staatsanwaltschaft angenommenen Sachverhalt, wonach er am 23. September 2021 vor der Schlichtungsbehörde einen Vergleich abgeschlossen hat, in welchem er sich verpflichtet hat, das Mietobjekt bis am 31. Dezember 2021 gereinigt und geräumt zu verlassen, ansonsten die Vermieterschaft berechtigt sei, das Mietobjekt auf seine Kosten zu räumen. Ferner gesteht er freimütig ein, das Mietobjekt nicht wie vereinbart am 31. Dezember 2021 gereinigt und geräumt verlassen zu haben. Er wendet lediglich ein, er habe den Vergleich nicht einhalten können, weil er ja nicht im Voraus die bevorstehenden drei Monate habe planen können, keine Woh- nung gefunden und überdies ab Mitte November 2021 an einer schweren Corona-Infektion gelitten habe. Der kontaktierte Präsident der Schlichtungsbehörde habe ihn an den Beschul- digten verwiesen. Bezüglich der Postzustellung argumentiert er mit dem Postgesetz, das je- dermann eine Post-Grundversorgung zusichere. Im Zusammenhang mit dem Autoverkauf führt er das Strassenverkehrsgesetz und das Bundesgesetz über Waffen ins Feld, ohne jedoch</w:t>
      </w:r>
    </w:p>
    <w:p>
      <w:r>
        <w:t>5│6 den Zusammenhang mit der angefochtenen Verfügung und dem angezeigten Sachverhalt auf- zuzeigen. Zusammenfassend präsentiert er damit seine eigene (Rechts-) Auffassung und be- harrt auf einer strafrechtlichen Relevanz der Vorgänge. Indes fehlt es der Eingabe vom 5. März 2024 (wiederum) an einer Auseinandersetzung mit den Ausführungen der Staatsanwaltschaft, welche ausführlich und zutreffend dargelegt hat, weshalb das Verhalten des Beschuldigten nicht strafbar gewesen ist (s. vorne Bst. A bzw. angefochtene Nichtanhandnahmeverfügung Ziffn. 2.4 f. S. 2 f.). 3. 3.1 Die Kosten des Rechtsmittelverfahrens tragen die Parteien nach Massgabe ihres Obsiegens oder Unterliegens. Als unterliegend gilt auch die Partei, auf deren Rechtsmittel nicht eingetre- ten wird oder die das Rechtsmittel zurückzieht (Art. 428 Abs. 1 StPO). Die Kosten des Be- schwerdeverfahrens betragen zwischen Fr. 200.– bis Fr. 3'000.– (Art. 11 Ziff. 2 PKoG [NG 261.2]). Handelt es sich um einen besonders einfachen Fall oder lassen es die Umstände sonst als angezeigt erscheinen, kann die Gebühr ohne Bindung an den vorgegebenen Rah- men angemessen herabgesetzt oder ausnahmsweise auf die Erhebung der Gebühr verzichtet werden (Art. 4 Abs. 1 PKoG). Im vorliegenden Verfahren werden sie ermessensweise (vgl. Art. 2 Abs. 1 PKoG) auf Fr. 100.– festgesetzt und ausgangsgemäss dem unterliegenden Be- schwerdeführer auferlegt. 3.2 Dem Beschuldigten ist kein Aufwand entstanden, sodass auf die Festsetzung einer Parteient- schädigung zu verzichten ist.</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